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752183">
      <w:pPr>
        <w:pStyle w:val="FirstParagraph"/>
        <w:spacing w:line="480" w:lineRule="auto"/>
        <w:ind w:firstLine="720"/>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modENCODE consortium {Landt,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w:t>
      </w:r>
      <w:r w:rsidR="00CF32D0">
        <w:t xml:space="preserve">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27B45D61" w:rsidR="00060C27" w:rsidRDefault="00B90E9D" w:rsidP="004A3B77">
      <w:pPr>
        <w:pStyle w:val="BodyText"/>
        <w:spacing w:line="480" w:lineRule="auto"/>
        <w:ind w:left="720" w:hanging="720"/>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Peaks present in both replicates were obtained from each timepoint and used for further analysis. Overlapping peaks were identified as those having at least 1 basepair ov</w:t>
      </w:r>
      <w:r w:rsidR="005D5121">
        <w:t xml:space="preserve">erlap with a peak </w:t>
      </w:r>
      <w:r w:rsidR="00CC3264">
        <w:t>between replicates</w:t>
      </w:r>
      <w:r w:rsidR="00285A9D">
        <w:t xml:space="preserv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w:t>
      </w:r>
      <w:r w:rsidR="00CC3264">
        <w:t>large</w:t>
      </w:r>
      <w:r w:rsidR="00E54A2F">
        <w:t xml:space="preserve"> fraction of Groucho binding sites </w:t>
      </w:r>
      <w:r w:rsidR="00CC3264">
        <w:t>is</w:t>
      </w:r>
      <w:r w:rsidR="00E54A2F">
        <w:t xml:space="preserve">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E66AB39" w14:textId="634AE878" w:rsidR="00963DBA" w:rsidRDefault="00963DBA" w:rsidP="00963DBA">
      <w:pPr>
        <w:spacing w:line="480" w:lineRule="auto"/>
        <w:rPr>
          <w:b/>
        </w:rPr>
      </w:pPr>
      <w:r>
        <w:rPr>
          <w:b/>
        </w:rPr>
        <w:lastRenderedPageBreak/>
        <w:t xml:space="preserve">Figure 2-4.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03C37F5B" w14:textId="4133CB34" w:rsidR="00963DBA" w:rsidRDefault="00963DBA" w:rsidP="00963DBA">
      <w:pPr>
        <w:rPr>
          <w:b/>
        </w:rPr>
      </w:pPr>
      <w:r>
        <w:lastRenderedPageBreak/>
        <w:t>Fig. 2-4</w:t>
      </w:r>
      <w:r>
        <w:rPr>
          <w:noProof/>
        </w:rPr>
        <w:drawing>
          <wp:inline distT="0" distB="0" distL="0" distR="0" wp14:anchorId="7DF96AC5" wp14:editId="648207EB">
            <wp:extent cx="5932170" cy="7694295"/>
            <wp:effectExtent l="0" t="0" r="0" b="0"/>
            <wp:docPr id="13" name="Picture 1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12.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170" cy="7694295"/>
                    </a:xfrm>
                    <a:prstGeom prst="rect">
                      <a:avLst/>
                    </a:prstGeom>
                    <a:noFill/>
                    <a:ln>
                      <a:noFill/>
                    </a:ln>
                  </pic:spPr>
                </pic:pic>
              </a:graphicData>
            </a:graphic>
          </wp:inline>
        </w:drawing>
      </w:r>
      <w:r>
        <w:rPr>
          <w:b/>
        </w:rPr>
        <w:br w:type="page"/>
      </w:r>
    </w:p>
    <w:p w14:paraId="66C45D70" w14:textId="59B8DBFF" w:rsidR="00963DBA" w:rsidRDefault="00963DBA" w:rsidP="00C233C8">
      <w:pPr>
        <w:spacing w:line="480" w:lineRule="auto"/>
        <w:rPr>
          <w:b/>
        </w:rPr>
      </w:pPr>
      <w:r>
        <w:rPr>
          <w:b/>
        </w:rPr>
        <w:lastRenderedPageBreak/>
        <w:t>Figure 2-5. Groucho f</w:t>
      </w:r>
      <w:r w:rsidR="00C233C8">
        <w:rPr>
          <w:b/>
        </w:rPr>
        <w:t>requently loc</w:t>
      </w:r>
      <w:r>
        <w:rPr>
          <w:b/>
        </w:rPr>
        <w:t>alizes to regions of high chromatin accessibility.</w:t>
      </w:r>
      <w:r w:rsidR="00C233C8">
        <w:rPr>
          <w:b/>
        </w:rPr>
        <w:t xml:space="preserve"> </w:t>
      </w:r>
      <w:r w:rsidR="00C233C8">
        <w:t xml:space="preserve">Previously published developmental stage-specific chromatin accessibility data (from Li. et al., 2011) was intersected with Groucho ChIP-seq data across all timepoints. </w:t>
      </w:r>
      <w:r w:rsidR="00DF18D9">
        <w:t>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w:t>
      </w:r>
      <w:r w:rsidR="00C560A8">
        <w:t>s</w:t>
      </w:r>
      <w:r w:rsidR="00DF18D9">
        <w:t>.</w:t>
      </w:r>
      <w:r>
        <w:rPr>
          <w:b/>
        </w:rPr>
        <w:br w:type="page"/>
      </w:r>
    </w:p>
    <w:p w14:paraId="4A9FDB97" w14:textId="143A9984" w:rsidR="0089424C" w:rsidRDefault="0089424C">
      <w:pPr>
        <w:rPr>
          <w:b/>
        </w:rPr>
      </w:pPr>
      <w:r>
        <w:lastRenderedPageBreak/>
        <w:t>Fig. 2-5</w:t>
      </w:r>
      <w:r w:rsidR="00DF18D9">
        <w:rPr>
          <w:noProof/>
        </w:rPr>
        <w:drawing>
          <wp:inline distT="0" distB="0" distL="0" distR="0" wp14:anchorId="1326E8C0" wp14:editId="60E03413">
            <wp:extent cx="5936615" cy="7677785"/>
            <wp:effectExtent l="0" t="0" r="0" b="0"/>
            <wp:docPr id="17" name="Picture 17"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13.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7677785"/>
                    </a:xfrm>
                    <a:prstGeom prst="rect">
                      <a:avLst/>
                    </a:prstGeom>
                    <a:noFill/>
                    <a:ln>
                      <a:noFill/>
                    </a:ln>
                  </pic:spPr>
                </pic:pic>
              </a:graphicData>
            </a:graphic>
          </wp:inline>
        </w:drawing>
      </w:r>
      <w:r>
        <w:rPr>
          <w:b/>
        </w:rPr>
        <w:br w:type="page"/>
      </w:r>
    </w:p>
    <w:p w14:paraId="7569F06A" w14:textId="15923A37" w:rsidR="00C560A8" w:rsidRPr="005349C8" w:rsidRDefault="00C560A8" w:rsidP="00C560A8">
      <w:pPr>
        <w:pStyle w:val="BodyText"/>
        <w:spacing w:line="480" w:lineRule="auto"/>
      </w:pPr>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7C39067E" w14:textId="05FE6FD3" w:rsidR="00C560A8" w:rsidRDefault="00C560A8" w:rsidP="00C560A8">
      <w:pPr>
        <w:pStyle w:val="BodyText"/>
        <w:spacing w:line="480" w:lineRule="auto"/>
        <w:outlineLvl w:val="0"/>
      </w:pPr>
      <w:r>
        <w:br w:type="page"/>
      </w:r>
      <w:r>
        <w:lastRenderedPageBreak/>
        <w:t>Fig. 2-6</w:t>
      </w:r>
      <w:r w:rsidR="007B66E2">
        <w:rPr>
          <w:noProof/>
        </w:rPr>
        <w:drawing>
          <wp:inline distT="0" distB="0" distL="0" distR="0" wp14:anchorId="1A82F45B" wp14:editId="50F945FA">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p>
    <w:p w14:paraId="593864A7" w14:textId="646549F9" w:rsidR="00C560A8" w:rsidRDefault="00C560A8" w:rsidP="00C560A8">
      <w:pPr>
        <w:pStyle w:val="BodyText"/>
        <w:spacing w:line="480" w:lineRule="auto"/>
      </w:pPr>
      <w:r>
        <w:rPr>
          <w:b/>
        </w:rPr>
        <w:lastRenderedPageBreak/>
        <w:t>Figure 2-7.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37A32B5" w14:textId="0303C53D" w:rsidR="00C560A8" w:rsidRDefault="00C560A8" w:rsidP="00C560A8">
      <w:pPr>
        <w:pStyle w:val="BodyText"/>
        <w:spacing w:line="480" w:lineRule="auto"/>
      </w:pPr>
      <w:r>
        <w:br w:type="page"/>
      </w:r>
      <w:r>
        <w:lastRenderedPageBreak/>
        <w:t>Fig. 2-7</w:t>
      </w:r>
      <w:r>
        <w:rPr>
          <w:noProof/>
        </w:rPr>
        <w:drawing>
          <wp:inline distT="0" distB="0" distL="0" distR="0" wp14:anchorId="61F83400" wp14:editId="09EFD392">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138FD18" w14:textId="16963400" w:rsidR="00C560A8" w:rsidRDefault="00C560A8" w:rsidP="00C560A8">
      <w:pPr>
        <w:pStyle w:val="BodyText"/>
        <w:spacing w:line="480" w:lineRule="auto"/>
      </w:pPr>
      <w:r>
        <w:rPr>
          <w:b/>
        </w:rPr>
        <w:lastRenderedPageBreak/>
        <w:t>Figure 2-8. Groucho is preferentially recruited to gene bodies at all timepoints.</w:t>
      </w:r>
      <w:r>
        <w:t xml:space="preserve"> </w:t>
      </w:r>
      <w:r w:rsidRPr="00DB1950">
        <w:rPr>
          <w:b/>
        </w:rPr>
        <w:t>(A)</w:t>
      </w:r>
      <w:r>
        <w:t xml:space="preserve"> Groucho peaks are enriched for 5’ UTRs, Introns, and promoter regions ( 0 – 500 bp upstream), and are depleted in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25241B6" w14:textId="7B055923" w:rsidR="00C560A8" w:rsidRDefault="00C560A8" w:rsidP="00C560A8">
      <w:pPr>
        <w:pStyle w:val="BodyText"/>
        <w:spacing w:line="480" w:lineRule="auto"/>
        <w:outlineLvl w:val="0"/>
      </w:pPr>
      <w:r>
        <w:br w:type="page"/>
      </w:r>
      <w:r>
        <w:lastRenderedPageBreak/>
        <w:t>Fig. 2-8</w:t>
      </w:r>
      <w:r>
        <w:rPr>
          <w:noProof/>
        </w:rPr>
        <w:drawing>
          <wp:inline distT="0" distB="0" distL="0" distR="0" wp14:anchorId="48AF9B3D" wp14:editId="13E34EE0">
            <wp:extent cx="5937250" cy="7687310"/>
            <wp:effectExtent l="0" t="0" r="0" b="0"/>
            <wp:docPr id="9" name="Picture 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9.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t xml:space="preserve"> </w:t>
      </w:r>
      <w:r>
        <w:br w:type="page"/>
      </w:r>
    </w:p>
    <w:p w14:paraId="700DA3D5" w14:textId="218617BD" w:rsidR="00C560A8" w:rsidRDefault="00C560A8" w:rsidP="00C560A8">
      <w:pPr>
        <w:pStyle w:val="BodyText"/>
        <w:spacing w:line="480" w:lineRule="auto"/>
      </w:pPr>
      <w:r>
        <w:rPr>
          <w:b/>
        </w:rPr>
        <w:lastRenderedPageBreak/>
        <w:t xml:space="preserve">Figure </w:t>
      </w:r>
      <w:r w:rsidR="009C709A">
        <w:rPr>
          <w:b/>
        </w:rPr>
        <w:t>2-9</w:t>
      </w:r>
      <w:r>
        <w:rPr>
          <w:b/>
        </w:rPr>
        <w:t>.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6531ED5" w14:textId="09EF6F97" w:rsidR="00C560A8" w:rsidRDefault="00C560A8" w:rsidP="00C560A8">
      <w:pPr>
        <w:pStyle w:val="BodyText"/>
        <w:spacing w:line="480" w:lineRule="auto"/>
        <w:outlineLvl w:val="0"/>
      </w:pPr>
      <w:r>
        <w:br w:type="page"/>
      </w:r>
      <w:r w:rsidR="009C709A">
        <w:lastRenderedPageBreak/>
        <w:t>Fig. 2-9</w:t>
      </w:r>
      <w:r>
        <w:rPr>
          <w:noProof/>
        </w:rPr>
        <w:drawing>
          <wp:inline distT="0" distB="0" distL="0" distR="0" wp14:anchorId="4DD2C657" wp14:editId="2A0FE634">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A2620E0" w14:textId="05621480" w:rsidR="009C709A" w:rsidRPr="006B77BB" w:rsidRDefault="009C709A" w:rsidP="009C709A">
      <w:pPr>
        <w:pStyle w:val="BodyText"/>
        <w:spacing w:line="480" w:lineRule="auto"/>
      </w:pPr>
      <w:r>
        <w:rPr>
          <w:b/>
        </w:rPr>
        <w:lastRenderedPageBreak/>
        <w:t xml:space="preserve">Figure 2-10. Motif analysis of Groucho peaks in intergenic and genic regions reveals differential enrichment of coregulators by developmental stage. </w:t>
      </w:r>
      <w:r>
        <w:t>Binding motis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43C7F6AF" w14:textId="3ED6264C" w:rsidR="009C709A" w:rsidRDefault="009C709A" w:rsidP="009C709A">
      <w:pPr>
        <w:pStyle w:val="BodyText"/>
        <w:spacing w:line="480" w:lineRule="auto"/>
        <w:outlineLvl w:val="0"/>
      </w:pPr>
      <w:r>
        <w:br w:type="page"/>
      </w:r>
      <w:r>
        <w:lastRenderedPageBreak/>
        <w:t>Fig. 2-10</w:t>
      </w:r>
      <w:r>
        <w:rPr>
          <w:noProof/>
        </w:rPr>
        <w:drawing>
          <wp:inline distT="0" distB="0" distL="0" distR="0" wp14:anchorId="694F7216" wp14:editId="27D8A004">
            <wp:extent cx="5937250" cy="7687310"/>
            <wp:effectExtent l="0" t="0" r="0" b="0"/>
            <wp:docPr id="10" name="Picture 10"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11.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110E4282" w14:textId="16998DE3" w:rsidR="00BA3CC7" w:rsidRDefault="00797813" w:rsidP="00BA3CC7">
      <w:pPr>
        <w:pStyle w:val="BodyText"/>
        <w:spacing w:line="480" w:lineRule="auto"/>
      </w:pPr>
      <w:r>
        <w:rPr>
          <w:b/>
        </w:rPr>
        <w:lastRenderedPageBreak/>
        <w:t>Figure 2-11</w:t>
      </w:r>
      <w:r w:rsidR="00A16899">
        <w:rPr>
          <w:b/>
        </w:rPr>
        <w:t>. Groucho binds to</w:t>
      </w:r>
      <w:r w:rsidR="00BA3CC7">
        <w:rPr>
          <w:b/>
        </w:rPr>
        <w:t xml:space="preserve"> early dorsoventral patterning genes with distinct patterns.</w:t>
      </w:r>
      <w:r w:rsidR="00BA3CC7">
        <w:t xml:space="preserve"> </w:t>
      </w:r>
      <w:r w:rsidR="00BA3CC7">
        <w:rPr>
          <w:b/>
        </w:rPr>
        <w:t>(A)</w:t>
      </w:r>
      <w:r w:rsidR="00BA3CC7">
        <w:t xml:space="preserve"> The region 1.1 to 1.4 kb upstream of </w:t>
      </w:r>
      <w:r w:rsidR="00BA3CC7">
        <w:rPr>
          <w:i/>
        </w:rPr>
        <w:t>zen</w:t>
      </w:r>
      <w:r w:rsidR="00BA3CC7">
        <w:t xml:space="preserve"> is known as the </w:t>
      </w:r>
      <w:r w:rsidR="00BA3CC7">
        <w:rPr>
          <w:i/>
        </w:rPr>
        <w:t>zen</w:t>
      </w:r>
      <w:r w:rsidR="00BA3CC7">
        <w:t xml:space="preserve"> ventral repression region (VRR) and contains four Dorsal sites that function, cooperatively with Deadringer/Retained and Cut, to recruit Gro to repress </w:t>
      </w:r>
      <w:r w:rsidR="00BA3CC7">
        <w:rPr>
          <w:i/>
        </w:rPr>
        <w:t>zen</w:t>
      </w:r>
      <w:r w:rsidR="00BA3CC7">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sidR="00BA3CC7">
        <w:rPr>
          <w:i/>
        </w:rPr>
        <w:t>zen</w:t>
      </w:r>
      <w:r w:rsidR="00BA3CC7">
        <w:t xml:space="preserve"> and continues 700 bp upstream. Groucho binding shifts during the next timepoint, and is lost entirely by the third timepoint analyzed. </w:t>
      </w:r>
      <w:r w:rsidR="00BA3CC7">
        <w:rPr>
          <w:b/>
        </w:rPr>
        <w:t>(B)</w:t>
      </w:r>
      <w:r w:rsidR="00BA3CC7">
        <w:t xml:space="preserve"> Groucho binds downstream and inside intronic regions of </w:t>
      </w:r>
      <w:r w:rsidR="00BA3CC7">
        <w:rPr>
          <w:i/>
        </w:rPr>
        <w:t>dpp</w:t>
      </w:r>
      <w:r w:rsidR="00BA3CC7">
        <w:t xml:space="preserve">, which </w:t>
      </w:r>
      <w:r w:rsidR="00963DBA">
        <w:t>similarly</w:t>
      </w:r>
      <w:r w:rsidR="00BA3CC7">
        <w:t xml:space="preserve"> to </w:t>
      </w:r>
      <w:r w:rsidR="00BA3CC7">
        <w:rPr>
          <w:i/>
        </w:rPr>
        <w:t>zen</w:t>
      </w:r>
      <w:r w:rsidR="00BA3CC7">
        <w:t xml:space="preserve"> is represssed ventrally by Groucho and Dorsal activity {Dubnicoff, 1997 #2366} in the early (0 - 2 hr) embryo. At later developmental stages, </w:t>
      </w:r>
      <w:r w:rsidR="00BA3CC7">
        <w:rPr>
          <w:i/>
        </w:rPr>
        <w:t>dpp</w:t>
      </w:r>
      <w:r w:rsidR="00BA3CC7">
        <w:t xml:space="preserve"> repression is mediated through a 3' cis-regulatory region containing multiple pangolin/TCF and brinker binding sites.</w:t>
      </w:r>
    </w:p>
    <w:p w14:paraId="6B1A4134" w14:textId="3A46B05A" w:rsidR="00BA3CC7" w:rsidRDefault="00DE3BBE" w:rsidP="00DE3BBE">
      <w:pPr>
        <w:pStyle w:val="BodyText"/>
        <w:spacing w:line="480" w:lineRule="auto"/>
        <w:outlineLvl w:val="0"/>
      </w:pPr>
      <w:r>
        <w:br w:type="page"/>
      </w:r>
      <w:r w:rsidR="00797813">
        <w:lastRenderedPageBreak/>
        <w:t>Fig. 2-11</w:t>
      </w:r>
      <w:r w:rsidR="00A16899">
        <w:rPr>
          <w:noProof/>
        </w:rPr>
        <w:drawing>
          <wp:inline distT="0" distB="0" distL="0" distR="0" wp14:anchorId="18F04F44" wp14:editId="43B28613">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9A9C56F" w14:textId="0DEAFA6A" w:rsidR="00C0135E" w:rsidRDefault="00797813" w:rsidP="00C0135E">
      <w:pPr>
        <w:spacing w:line="480" w:lineRule="auto"/>
        <w:rPr>
          <w:b/>
        </w:rPr>
      </w:pPr>
      <w:r>
        <w:rPr>
          <w:b/>
        </w:rPr>
        <w:lastRenderedPageBreak/>
        <w:t>Figure 2-12</w:t>
      </w:r>
      <w:r w:rsidR="00C0135E">
        <w:rPr>
          <w:b/>
        </w:rPr>
        <w:t xml:space="preserve">.  Groucho associates with a subset of Dorsal-activated genes in the presumptive mesoderm. (A) </w:t>
      </w:r>
      <w:r w:rsidR="00C0135E">
        <w:t xml:space="preserve">Two cis-regulatory regions have been identified upstream of </w:t>
      </w:r>
      <w:r w:rsidR="00C0135E">
        <w:rPr>
          <w:i/>
        </w:rPr>
        <w:t>snail</w:t>
      </w:r>
      <w:r w:rsidR="00C0135E">
        <w:t xml:space="preserve">, either of which is sufficient for Dorsal-mediated activation of the gene in ventral regions of the early (2 – 3 hr) embryo, leading to the hypothesis that the shadow enhancer is involved in fine-tuning </w:t>
      </w:r>
      <w:r w:rsidR="00C0135E">
        <w:rPr>
          <w:i/>
        </w:rPr>
        <w:t xml:space="preserve">snail </w:t>
      </w:r>
      <w:r w:rsidR="00C0135E">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sidR="00C0135E">
        <w:rPr>
          <w:i/>
        </w:rPr>
        <w:t xml:space="preserve">snail </w:t>
      </w:r>
      <w:r w:rsidR="00C0135E">
        <w:t xml:space="preserve">expression later in development. </w:t>
      </w:r>
      <w:r w:rsidR="00C0135E">
        <w:rPr>
          <w:b/>
        </w:rPr>
        <w:t>(B)</w:t>
      </w:r>
      <w:r w:rsidR="00C0135E">
        <w:t xml:space="preserve"> In contrast, recruitment of Groucho to the </w:t>
      </w:r>
      <w:r w:rsidR="00C0135E">
        <w:rPr>
          <w:i/>
        </w:rPr>
        <w:t xml:space="preserve">twist </w:t>
      </w:r>
      <w:r w:rsidR="00C0135E">
        <w:t xml:space="preserve">locus is relatively weak. Dorsal binds within the ventral activation region (VAR) directly upstream of </w:t>
      </w:r>
      <w:r w:rsidR="00C0135E" w:rsidRPr="00DE3FE3">
        <w:rPr>
          <w:i/>
        </w:rPr>
        <w:t>twist</w:t>
      </w:r>
      <w:r w:rsidR="00C0135E">
        <w:rPr>
          <w:i/>
        </w:rPr>
        <w:t xml:space="preserve">, </w:t>
      </w:r>
      <w:r w:rsidR="00C0135E">
        <w:t xml:space="preserve">where it serves to activate gene expression via the cooperation of the co-activator dCBP. A small yet significant Gro peak is present within this region during the first time window, but disappears by later stages. </w:t>
      </w:r>
      <w:r w:rsidR="00C0135E">
        <w:rPr>
          <w:i/>
        </w:rPr>
        <w:t xml:space="preserve"> </w:t>
      </w:r>
      <w:r w:rsidR="00C0135E" w:rsidRPr="00DE3FE3">
        <w:t>While</w:t>
      </w:r>
      <w:r w:rsidR="00C0135E">
        <w:t xml:space="preserve"> Groucho may be involved in repressing </w:t>
      </w:r>
      <w:r w:rsidR="00C0135E">
        <w:rPr>
          <w:i/>
        </w:rPr>
        <w:t>snail</w:t>
      </w:r>
      <w:r w:rsidR="00C0135E">
        <w:t xml:space="preserve">, in dorsal and dorsolateral regions of the embryo, it appears </w:t>
      </w:r>
      <w:r w:rsidR="00C0135E">
        <w:rPr>
          <w:i/>
        </w:rPr>
        <w:t xml:space="preserve">twist </w:t>
      </w:r>
      <w:r w:rsidR="00C0135E">
        <w:t>repression is initiated or maintained by another, unknown, mechanism.</w:t>
      </w:r>
      <w:r w:rsidR="00C0135E">
        <w:rPr>
          <w:b/>
        </w:rPr>
        <w:br w:type="page"/>
      </w:r>
    </w:p>
    <w:p w14:paraId="4107FD21" w14:textId="203346B0" w:rsidR="00C0135E" w:rsidRDefault="00797813" w:rsidP="00C0135E">
      <w:pPr>
        <w:rPr>
          <w:b/>
        </w:rPr>
      </w:pPr>
      <w:r>
        <w:lastRenderedPageBreak/>
        <w:t>Fig. 2-12</w:t>
      </w:r>
      <w:r w:rsidR="00963DBA">
        <w:rPr>
          <w:noProof/>
        </w:rPr>
        <w:drawing>
          <wp:inline distT="0" distB="0" distL="0" distR="0" wp14:anchorId="4759C511" wp14:editId="0C3560C5">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sidR="00C0135E">
        <w:rPr>
          <w:b/>
        </w:rPr>
        <w:br w:type="page"/>
      </w:r>
    </w:p>
    <w:p w14:paraId="17E8633D" w14:textId="0438B2ED" w:rsidR="00FB3A61" w:rsidRDefault="00797813" w:rsidP="00FB3A61">
      <w:pPr>
        <w:pStyle w:val="BodyText"/>
        <w:spacing w:line="480" w:lineRule="auto"/>
      </w:pPr>
      <w:r>
        <w:rPr>
          <w:b/>
        </w:rPr>
        <w:lastRenderedPageBreak/>
        <w:t>Figure 2-13</w:t>
      </w:r>
      <w:r w:rsidR="00FB3A61">
        <w:rPr>
          <w:b/>
        </w:rPr>
        <w:t>. Groucho is recruited to Dorsal-activated genes in early embryos.</w:t>
      </w:r>
      <w:r w:rsidR="00FB3A61">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r w:rsidR="00FB3A61">
        <w:rPr>
          <w:i/>
        </w:rPr>
        <w:t>sim</w:t>
      </w:r>
      <w:r w:rsidR="00FB3A61">
        <w:t xml:space="preserve"> and </w:t>
      </w:r>
      <w:r w:rsidR="00FB3A61">
        <w:rPr>
          <w:i/>
        </w:rPr>
        <w:t>sog</w:t>
      </w:r>
      <w:r w:rsidR="00FB3A61">
        <w:t xml:space="preserve"> at all timepoints.</w:t>
      </w:r>
    </w:p>
    <w:p w14:paraId="258C43B5" w14:textId="1EB5CAF4" w:rsidR="00BA3CC7" w:rsidRDefault="00DE3BBE" w:rsidP="00DE3BBE">
      <w:pPr>
        <w:pStyle w:val="BodyText"/>
        <w:spacing w:line="480" w:lineRule="auto"/>
        <w:outlineLvl w:val="0"/>
      </w:pPr>
      <w:r>
        <w:br w:type="page"/>
      </w:r>
      <w:r w:rsidR="00797813">
        <w:lastRenderedPageBreak/>
        <w:t>Fig. 2-13</w:t>
      </w:r>
      <w:r w:rsidR="00963DBA">
        <w:rPr>
          <w:noProof/>
        </w:rPr>
        <w:drawing>
          <wp:inline distT="0" distB="0" distL="0" distR="0" wp14:anchorId="0525AB11" wp14:editId="6FD9B35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7CF4768" w14:textId="513D380C" w:rsidR="00C0135E" w:rsidRDefault="00797813" w:rsidP="00C0135E">
      <w:pPr>
        <w:spacing w:line="480" w:lineRule="auto"/>
      </w:pPr>
      <w:r>
        <w:rPr>
          <w:b/>
        </w:rPr>
        <w:lastRenderedPageBreak/>
        <w:t>Figure 2-14</w:t>
      </w:r>
      <w:r w:rsidR="00C0135E">
        <w:rPr>
          <w:b/>
        </w:rPr>
        <w:t xml:space="preserve">. Groucho is recruited to large subsets of known Dorsal/Twist/Snail-binding regulatory regions. (A) </w:t>
      </w:r>
      <w:r w:rsidR="00C0135E">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6.5 hour time window.  </w:t>
      </w:r>
      <w:r w:rsidR="00C0135E">
        <w:rPr>
          <w:b/>
        </w:rPr>
        <w:t xml:space="preserve">(B) </w:t>
      </w:r>
      <w:r w:rsidR="00C0135E">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rsidR="00C0135E">
        <w:br w:type="page"/>
      </w:r>
    </w:p>
    <w:p w14:paraId="25F3450A" w14:textId="61A722D9" w:rsidR="00C0135E" w:rsidRDefault="00797813" w:rsidP="00C0135E">
      <w:pPr>
        <w:pStyle w:val="BodyText"/>
        <w:spacing w:line="480" w:lineRule="auto"/>
      </w:pPr>
      <w:r>
        <w:lastRenderedPageBreak/>
        <w:t>Fig. 2-14</w:t>
      </w:r>
      <w:r w:rsidR="00C0135E">
        <w:rPr>
          <w:noProof/>
        </w:rPr>
        <w:drawing>
          <wp:inline distT="0" distB="0" distL="0" distR="0" wp14:anchorId="00AC4576" wp14:editId="6BF17583">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DFCD21A" w14:textId="0AAE2985" w:rsidR="0004659D" w:rsidRPr="002D149A" w:rsidRDefault="0004659D" w:rsidP="00F10D2C">
      <w:pPr>
        <w:spacing w:line="480" w:lineRule="auto"/>
        <w:rPr>
          <w:b/>
        </w:rPr>
      </w:pPr>
      <w:r w:rsidRPr="002D149A">
        <w:rPr>
          <w:b/>
        </w:rPr>
        <w:lastRenderedPageBreak/>
        <w:t>Fig. 2-</w:t>
      </w:r>
      <w:r>
        <w:rPr>
          <w:b/>
        </w:rPr>
        <w:t xml:space="preserve"> </w:t>
      </w:r>
      <w:r w:rsidR="00797813">
        <w:rPr>
          <w:b/>
        </w:rPr>
        <w:t>15</w:t>
      </w:r>
      <w:r>
        <w:rPr>
          <w:b/>
        </w:rPr>
        <w:t>. The majority of Groucho recruitment sites in the early embryo additionally bind Dorsal, Dichaete, and, less frequently, multiple additional factors.</w:t>
      </w:r>
      <w:r w:rsidR="00F10D2C">
        <w:rPr>
          <w:b/>
        </w:rPr>
        <w:t xml:space="preserve"> </w:t>
      </w:r>
      <w:r w:rsidR="00F10D2C">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47151A71" w14:textId="5EF148C2" w:rsidR="0004659D" w:rsidRDefault="0004659D" w:rsidP="0004659D">
      <w:r>
        <w:lastRenderedPageBreak/>
        <w:t>Fig. 2-</w:t>
      </w:r>
      <w:r w:rsidR="00797813">
        <w:t>15</w:t>
      </w:r>
      <w:r>
        <w:rPr>
          <w:noProof/>
        </w:rPr>
        <w:drawing>
          <wp:inline distT="0" distB="0" distL="0" distR="0" wp14:anchorId="0FA44994" wp14:editId="2CA7752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39655A5C" w14:textId="18BCDDDE" w:rsidR="005D2428" w:rsidRDefault="005D2428" w:rsidP="005D2428">
      <w:pPr>
        <w:spacing w:line="480" w:lineRule="auto"/>
      </w:pPr>
      <w:r>
        <w:rPr>
          <w:b/>
        </w:rPr>
        <w:lastRenderedPageBreak/>
        <w:t>Figure 2-1</w:t>
      </w:r>
      <w:r w:rsidR="00797813">
        <w:rPr>
          <w:b/>
        </w:rPr>
        <w:t>6</w:t>
      </w:r>
      <w:r>
        <w:rPr>
          <w:b/>
        </w:rPr>
        <w:t xml:space="preserve">. Groucho binding correlates with the binding profiles of additional transcription factors involved in embryonic patterning in a temporally discrete manner. </w:t>
      </w:r>
      <w:r>
        <w:t xml:space="preserve">Enrichment scores representing overlap of Groucho binding (as determined by ChIP-seq) with 21 previously published ChIP-seq data sets {MacArthur, 2009 #6} generated from 2 – 3.5 hr embryos. Known Gro interacting proteins are indicated via asterisks. </w:t>
      </w:r>
      <w:r w:rsidRPr="00C4631D">
        <w:rPr>
          <w:b/>
        </w:rPr>
        <w:t>(top)</w:t>
      </w:r>
      <w:r>
        <w:t xml:space="preserve"> Groucho exhibits significant overlap with several anterior-posterior patterning factors, across the first two timepoints. Surprisingly little overlap was observed between Gro and Knirps (kni), despite the two proteins’ physical interaction {Payankaulam, 2009 #2955}. </w:t>
      </w:r>
      <w:r w:rsidRPr="00C4631D">
        <w:rPr>
          <w:b/>
        </w:rPr>
        <w:t>(bottom)</w:t>
      </w:r>
      <w:r>
        <w:t xml:space="preserve"> Groucho colocalizes with the majority of dorsal-ventral patterning genes assayed during the second timepoint, the most significant exception being snail, which Groucho preferentially colocalizes with during the initial time window. </w:t>
      </w:r>
    </w:p>
    <w:p w14:paraId="004840E2" w14:textId="0D93E874" w:rsidR="005D2428" w:rsidRDefault="005D2428" w:rsidP="005D2428">
      <w:pPr>
        <w:pStyle w:val="BodyText"/>
        <w:spacing w:line="480" w:lineRule="auto"/>
      </w:pPr>
      <w:r>
        <w:lastRenderedPageBreak/>
        <w:t>Fig. 2-1</w:t>
      </w:r>
      <w:r w:rsidR="00797813">
        <w:t>6</w:t>
      </w:r>
      <w:r>
        <w:rPr>
          <w:noProof/>
        </w:rPr>
        <w:drawing>
          <wp:inline distT="0" distB="0" distL="0" distR="0" wp14:anchorId="6EEDE030" wp14:editId="36BE7339">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2E92A389" w14:textId="608ABD35" w:rsidR="00A373F3" w:rsidRDefault="00797813" w:rsidP="00A373F3">
      <w:pPr>
        <w:pStyle w:val="BodyText"/>
        <w:spacing w:line="480" w:lineRule="auto"/>
      </w:pPr>
      <w:r>
        <w:rPr>
          <w:b/>
        </w:rPr>
        <w:lastRenderedPageBreak/>
        <w:t>Figure 2-17</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expresssion pattern is consistent with modENCODE developmental timecourse transcriptome data {Graveley, 2011 #3044}, which shows a peak of Groucho transcript level during 2 to 4 hours post-fertilization, followed by a steady decrease through the remainder of embryonic development.</w:t>
      </w:r>
    </w:p>
    <w:p w14:paraId="4A988700" w14:textId="45099076" w:rsidR="00A373F3" w:rsidRDefault="00DE3BBE" w:rsidP="00DE3BBE">
      <w:pPr>
        <w:pStyle w:val="BodyText"/>
        <w:spacing w:line="480" w:lineRule="auto"/>
        <w:outlineLvl w:val="0"/>
      </w:pPr>
      <w:r>
        <w:br w:type="page"/>
      </w:r>
      <w:r w:rsidR="00797813">
        <w:lastRenderedPageBreak/>
        <w:t>Fig. 2-17</w:t>
      </w:r>
      <w:r w:rsidR="00BA507F">
        <w:rPr>
          <w:noProof/>
        </w:rPr>
        <w:drawing>
          <wp:inline distT="0" distB="0" distL="0" distR="0" wp14:anchorId="594338BF" wp14:editId="58B5ED9A">
            <wp:extent cx="5937250" cy="7687310"/>
            <wp:effectExtent l="0" t="0" r="0" b="0"/>
            <wp:docPr id="11" name="Picture 11"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14.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5CDC6269" w14:textId="68757CC9" w:rsidR="00A373F3" w:rsidRDefault="00797813" w:rsidP="00A373F3">
      <w:pPr>
        <w:pStyle w:val="BodyText"/>
        <w:spacing w:line="480" w:lineRule="auto"/>
      </w:pPr>
      <w:r>
        <w:rPr>
          <w:b/>
        </w:rPr>
        <w:lastRenderedPageBreak/>
        <w:t>Figure 2-18</w:t>
      </w:r>
      <w:r w:rsidR="00A373F3">
        <w:rPr>
          <w:b/>
        </w:rPr>
        <w:t>. Clustering of embryonic transcriptomes across Gro levels and timepoints and between replicates.</w:t>
      </w:r>
      <w:r w:rsidR="00A373F3">
        <w:t xml:space="preserve"> Pair-wise Spearman correlation coeffients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dGro - Gro maternal loss-of-function, dSP - Gro</w:t>
      </w:r>
    </w:p>
    <w:p w14:paraId="0DB84B30" w14:textId="034E8AAD" w:rsidR="00A373F3" w:rsidRDefault="00DE3BBE" w:rsidP="00DE3BBE">
      <w:pPr>
        <w:pStyle w:val="BodyText"/>
        <w:spacing w:line="480" w:lineRule="auto"/>
        <w:outlineLvl w:val="0"/>
      </w:pPr>
      <w:r>
        <w:br w:type="page"/>
      </w:r>
      <w:r w:rsidR="00797813">
        <w:lastRenderedPageBreak/>
        <w:t>Fig. 2-18</w:t>
      </w:r>
      <w:r w:rsidR="007B66E2">
        <w:rPr>
          <w:noProof/>
        </w:rPr>
        <w:drawing>
          <wp:inline distT="0" distB="0" distL="0" distR="0" wp14:anchorId="0A13623A" wp14:editId="6745FED8">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p>
    <w:p w14:paraId="10CB39CC" w14:textId="6C6D6500" w:rsidR="00A373F3" w:rsidRPr="00FF7983" w:rsidRDefault="00797813" w:rsidP="00A373F3">
      <w:pPr>
        <w:pStyle w:val="BodyText"/>
        <w:spacing w:line="480" w:lineRule="auto"/>
      </w:pPr>
      <w:r>
        <w:rPr>
          <w:b/>
        </w:rPr>
        <w:lastRenderedPageBreak/>
        <w:t>Figure 2-19</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18E1DC14" w:rsidR="00A373F3" w:rsidRDefault="00DE3BBE" w:rsidP="00DE3BBE">
      <w:pPr>
        <w:pStyle w:val="BodyText"/>
        <w:spacing w:line="480" w:lineRule="auto"/>
        <w:outlineLvl w:val="0"/>
      </w:pPr>
      <w:r>
        <w:br w:type="page"/>
      </w:r>
      <w:r w:rsidR="00797813">
        <w:lastRenderedPageBreak/>
        <w:t>Fig. 2-19</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31698C6E" w:rsidR="00C94186" w:rsidRDefault="00FB3A61" w:rsidP="00C94186">
      <w:pPr>
        <w:pStyle w:val="BodyText"/>
        <w:spacing w:line="480" w:lineRule="auto"/>
      </w:pPr>
      <w:r>
        <w:rPr>
          <w:b/>
        </w:rPr>
        <w:lastRenderedPageBreak/>
        <w:t>Figure 2</w:t>
      </w:r>
      <w:r w:rsidR="00797813">
        <w:rPr>
          <w:b/>
        </w:rPr>
        <w:t>-20</w:t>
      </w:r>
      <w:r w:rsidR="00C94186">
        <w:rPr>
          <w:b/>
        </w:rPr>
        <w:t>. Perturbation of Groucho expression levels results in the mis-regulation of thousands of genes.</w:t>
      </w:r>
      <w:r w:rsidR="00C94186">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0E47F23A" w14:textId="1962E303" w:rsidR="00C94186" w:rsidRDefault="00DE3BBE" w:rsidP="00DE3BBE">
      <w:pPr>
        <w:pStyle w:val="BodyText"/>
        <w:spacing w:line="480" w:lineRule="auto"/>
        <w:outlineLvl w:val="0"/>
      </w:pPr>
      <w:r>
        <w:br w:type="page"/>
      </w:r>
      <w:r w:rsidR="00797813">
        <w:lastRenderedPageBreak/>
        <w:t>Fig. 2-20</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30BA0A7C" w:rsidR="00C612CF" w:rsidRPr="00B52DEC" w:rsidRDefault="00797813" w:rsidP="00C612CF">
      <w:pPr>
        <w:pStyle w:val="BodyText"/>
        <w:spacing w:line="480" w:lineRule="auto"/>
      </w:pPr>
      <w:r>
        <w:rPr>
          <w:b/>
        </w:rPr>
        <w:lastRenderedPageBreak/>
        <w:t>Figure 2-21</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5A8320B0" w:rsidR="00C612CF" w:rsidRDefault="00DE3BBE" w:rsidP="00DE3BBE">
      <w:pPr>
        <w:pStyle w:val="BodyText"/>
        <w:spacing w:line="480" w:lineRule="auto"/>
        <w:outlineLvl w:val="0"/>
      </w:pPr>
      <w:r>
        <w:br w:type="page"/>
      </w:r>
      <w:r w:rsidR="00797813">
        <w:lastRenderedPageBreak/>
        <w:t>Fig. 2-21</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797813">
        <w:lastRenderedPageBreak/>
        <w:t>Fig. 2-21</w:t>
      </w:r>
      <w:r w:rsidR="00F45B95">
        <w:t xml:space="preserve"> (cont)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0C25C449" w:rsidR="003A3ABD" w:rsidRPr="00D35FD4" w:rsidRDefault="00797813" w:rsidP="003A3ABD">
      <w:pPr>
        <w:pStyle w:val="BodyText"/>
        <w:spacing w:line="480" w:lineRule="auto"/>
      </w:pPr>
      <w:r>
        <w:rPr>
          <w:b/>
        </w:rPr>
        <w:lastRenderedPageBreak/>
        <w:t>Figure 2-22</w:t>
      </w:r>
      <w:r w:rsidR="00D35FD4">
        <w:rPr>
          <w:b/>
        </w:rPr>
        <w:t xml:space="preserve">. A subset of genes are differentially expressed under both loss and gain of Groucho dosage. </w:t>
      </w:r>
      <w:r w:rsidR="00D35FD4">
        <w:t>The log</w:t>
      </w:r>
      <w:r w:rsidR="00D35FD4">
        <w:rPr>
          <w:vertAlign w:val="subscript"/>
        </w:rPr>
        <w:t>2</w:t>
      </w:r>
      <w:r w:rsidR="00D35FD4">
        <w:t xml:space="preserve"> fold-change of gene expression of each gene was calculated by comparing expression levels in Groucho mutant embryos versus wild-type. A subset of the total Groucho-effected genes were identified as being misregulated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bookmarkStart w:id="0" w:name="_GoBack"/>
      <w:bookmarkEnd w:id="0"/>
    </w:p>
    <w:p w14:paraId="363F0CDA" w14:textId="1023FB8F" w:rsidR="003A3ABD" w:rsidRDefault="00DE3BBE" w:rsidP="00DE3BBE">
      <w:pPr>
        <w:pStyle w:val="BodyText"/>
        <w:spacing w:line="480" w:lineRule="auto"/>
        <w:outlineLvl w:val="0"/>
      </w:pPr>
      <w:r>
        <w:br w:type="page"/>
      </w:r>
      <w:r w:rsidR="00797813">
        <w:lastRenderedPageBreak/>
        <w:t>Fig. 2-22</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1D9B3B72" w:rsidR="00FB3A61" w:rsidRPr="003A3ABD" w:rsidRDefault="00797813" w:rsidP="00FB3A61">
      <w:pPr>
        <w:pStyle w:val="BodyText"/>
        <w:spacing w:line="480" w:lineRule="auto"/>
      </w:pPr>
      <w:r>
        <w:rPr>
          <w:b/>
        </w:rPr>
        <w:lastRenderedPageBreak/>
        <w:t>Figure 2-23</w:t>
      </w:r>
      <w:r w:rsidR="00FB3A61">
        <w:rPr>
          <w:b/>
        </w:rPr>
        <w:t xml:space="preserve">. The majority of high-confidence Groucho targets are differentially expressed in both Gro overexpression lines. </w:t>
      </w:r>
      <w:r w:rsidR="00FB3A61">
        <w:t>Limiting the list of Groucho regulated genes by ChIP-seq and RNA-seq data resulted in a total of 248 target genes. Of these genes, 61% are repressed in both the 2x and 4x Gro overexpression embryos.</w:t>
      </w:r>
    </w:p>
    <w:p w14:paraId="06D23F2A" w14:textId="42571283" w:rsidR="00FB3A61" w:rsidRDefault="00DE3BBE" w:rsidP="00DE3BBE">
      <w:pPr>
        <w:pStyle w:val="BodyText"/>
        <w:spacing w:line="480" w:lineRule="auto"/>
        <w:outlineLvl w:val="0"/>
      </w:pPr>
      <w:r>
        <w:br w:type="page"/>
      </w:r>
      <w:r w:rsidR="00797813">
        <w:lastRenderedPageBreak/>
        <w:t>Fig. 2-23</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3A0E28D" w14:textId="7554C472" w:rsidR="007B66E2" w:rsidRDefault="007B66E2" w:rsidP="007B66E2">
      <w:pPr>
        <w:spacing w:line="480" w:lineRule="auto"/>
      </w:pPr>
      <w:r>
        <w:rPr>
          <w:b/>
        </w:rPr>
        <w:lastRenderedPageBreak/>
        <w:t>Figure 2-24</w:t>
      </w:r>
      <w:r>
        <w:rPr>
          <w:b/>
        </w:rPr>
        <w:t xml:space="preserve">. High-confidence Groucho targets were identified through a scoring algorithm integrating binding data (ChIP-seq) with expression data measured under multiple Groucho dosages (RNA-seq). </w:t>
      </w:r>
      <w:r>
        <w:t>A score corresponding to the distribution of Groucho occupancy within and in adjacent areas of a gene was calculated using a previously published algorithm {Sandmann,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25AD21CE" w14:textId="77777777" w:rsidR="007B66E2" w:rsidRDefault="007B66E2">
      <w:r>
        <w:br w:type="page"/>
      </w:r>
    </w:p>
    <w:p w14:paraId="3E200DF2" w14:textId="420FFDA0" w:rsidR="007B66E2" w:rsidRDefault="007B66E2" w:rsidP="007B66E2">
      <w:pPr>
        <w:pStyle w:val="BodyText"/>
        <w:spacing w:line="480" w:lineRule="auto"/>
      </w:pPr>
      <w:r>
        <w:lastRenderedPageBreak/>
        <w:t>Fig. 2-24</w:t>
      </w:r>
      <w:r>
        <w:rPr>
          <w:noProof/>
        </w:rPr>
        <w:drawing>
          <wp:inline distT="0" distB="0" distL="0" distR="0" wp14:anchorId="4440A642" wp14:editId="1C8C0106">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781B33C4" w14:textId="3729D0C4" w:rsidR="007B66E2" w:rsidRDefault="007B66E2">
      <w:pPr>
        <w:rPr>
          <w:b/>
        </w:rPr>
      </w:pPr>
      <w:r>
        <w:rPr>
          <w:b/>
        </w:rPr>
        <w:br w:type="page"/>
      </w:r>
      <w:r>
        <w:rPr>
          <w:b/>
        </w:rPr>
        <w:lastRenderedPageBreak/>
        <w:t xml:space="preserve">Figure 2-25. </w:t>
      </w:r>
      <w:r>
        <w:rPr>
          <w:b/>
        </w:rPr>
        <w:br w:type="page"/>
      </w:r>
    </w:p>
    <w:p w14:paraId="511B6E07" w14:textId="1CDD958F" w:rsidR="007B66E2" w:rsidRDefault="007B66E2">
      <w:pPr>
        <w:rPr>
          <w:b/>
        </w:rPr>
      </w:pPr>
      <w:r>
        <w:rPr>
          <w:b/>
        </w:rPr>
        <w:lastRenderedPageBreak/>
        <w:t>Fig. 2-25</w:t>
      </w:r>
      <w:r>
        <w:rPr>
          <w:b/>
          <w:noProof/>
        </w:rPr>
        <w:drawing>
          <wp:inline distT="0" distB="0" distL="0" distR="0" wp14:anchorId="065A77F0" wp14:editId="2816FD20">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p>
    <w:p w14:paraId="01491387" w14:textId="0CA4230D" w:rsidR="00797813" w:rsidRPr="006B25C3" w:rsidRDefault="007B66E2" w:rsidP="00797813">
      <w:pPr>
        <w:pStyle w:val="BodyText"/>
        <w:spacing w:line="480" w:lineRule="auto"/>
      </w:pPr>
      <w:r>
        <w:rPr>
          <w:b/>
        </w:rPr>
        <w:lastRenderedPageBreak/>
        <w:t>Figure 2-26</w:t>
      </w:r>
      <w:r w:rsidR="00797813">
        <w:rPr>
          <w:b/>
        </w:rPr>
        <w:t xml:space="preserve">. Groucho-regulated genes are enriched for developmentally-regulated transcription factors. </w:t>
      </w:r>
      <w:r w:rsidR="00797813">
        <w:t>The most significantly enriched gene ontology groups of high-confidence Groucho target genes are uniformly related to developmental regulation, confirming Groucho’s role as a high-level regulatory node in the establishment of tissue fate during development.</w:t>
      </w:r>
    </w:p>
    <w:p w14:paraId="6B7EC329" w14:textId="088D701C" w:rsidR="00797813" w:rsidRPr="006B6CF2" w:rsidRDefault="00797813" w:rsidP="00797813">
      <w:pPr>
        <w:pStyle w:val="BodyText"/>
        <w:spacing w:line="480" w:lineRule="auto"/>
        <w:outlineLvl w:val="0"/>
      </w:pPr>
      <w:r>
        <w:br w:type="page"/>
      </w:r>
      <w:r w:rsidR="007B66E2">
        <w:lastRenderedPageBreak/>
        <w:t>Fig. 2-26</w:t>
      </w:r>
      <w:r w:rsidR="007B66E2">
        <w:rPr>
          <w:noProof/>
        </w:rPr>
        <w:drawing>
          <wp:inline distT="0" distB="0" distL="0" distR="0" wp14:anchorId="062A0F79" wp14:editId="23B3FEA4">
            <wp:extent cx="5943600" cy="7686675"/>
            <wp:effectExtent l="0" t="0" r="0" b="0"/>
            <wp:docPr id="19" name="Picture 19"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26.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r w:rsidR="007B66E2">
        <w:rPr>
          <w:b/>
        </w:rPr>
        <w:lastRenderedPageBreak/>
        <w:t>Figure 2.27</w:t>
      </w:r>
      <w:r w:rsidR="00EB49CE">
        <w:rPr>
          <w:b/>
        </w:rPr>
        <w:t xml:space="preserve">. Groucho target genes form a highly-interconnected network with multiple hubs. </w:t>
      </w:r>
      <w:r w:rsidR="00EB49CE">
        <w:t xml:space="preserve">Potential Groucho-target genes identified by the two methods outlined above were integrated into a network analysis to visualize genetic and physical interactions of these target genes. Genetic (blue edges) and physical (orange edges) were obtained from a curated set maintained by FlyMine </w:t>
      </w:r>
      <w:r w:rsidR="00EB49CE">
        <w:t>{Lyne, 2007 #3180}</w:t>
      </w:r>
      <w:r w:rsidR="00EB49CE">
        <w:t xml:space="preserve">. Both gene sets result in highly-connected networks with multiple hubs (8 or more edges, yellow nodes) interconnected by multiple genetic interactions. </w:t>
      </w:r>
      <w:r w:rsidR="006B6CF2" w:rsidRPr="006B6CF2">
        <w:rPr>
          <w:b/>
        </w:rPr>
        <w:t>(A)</w:t>
      </w:r>
      <w:r w:rsidR="006B6CF2">
        <w:t xml:space="preserve"> The Groucho dosage responsive gene list identifies a large network containing multiple </w:t>
      </w:r>
      <w:r w:rsidR="006B6CF2" w:rsidRPr="006B6CF2">
        <w:t>E(spl)-</w:t>
      </w:r>
      <w:r w:rsidR="006B6CF2">
        <w:t xml:space="preserve">family proteins, as well as Delta (Dl), Sprouty (sty), Atonal (ato), and Patched (ptc) hubs. </w:t>
      </w:r>
      <w:r w:rsidR="006B6CF2">
        <w:rPr>
          <w:b/>
        </w:rPr>
        <w:t xml:space="preserve">(B) </w:t>
      </w:r>
      <w:r w:rsidR="006B6CF2">
        <w:t>The Gro-targets identified by Groucho occupancy score reveals a similar, but larger, network. Hubs representing genes regulated by the Decapentapletic (Dpp), Wingless (wg), and Ras/MAPK (EGFR and anterior-open;aop) pathways. Additional regulatory hubs include Thick</w:t>
      </w:r>
      <w:r w:rsidR="004A256B">
        <w:t>veins (tkv), Pannier (pnr), Patched (ptc), and Cyclin G (CycG).</w:t>
      </w:r>
    </w:p>
    <w:p w14:paraId="702F5EE6" w14:textId="330E36D0" w:rsidR="007B66E2" w:rsidRDefault="007B66E2">
      <w:pPr>
        <w:rPr>
          <w:b/>
        </w:rPr>
      </w:pPr>
      <w:r>
        <w:rPr>
          <w:b/>
        </w:rPr>
        <w:br w:type="page"/>
      </w:r>
    </w:p>
    <w:p w14:paraId="43599D08" w14:textId="0A18DC77" w:rsidR="007B66E2" w:rsidRDefault="007B66E2" w:rsidP="00797813">
      <w:pPr>
        <w:pStyle w:val="BodyText"/>
        <w:spacing w:line="480" w:lineRule="auto"/>
        <w:outlineLvl w:val="0"/>
        <w:rPr>
          <w:b/>
        </w:rPr>
      </w:pPr>
      <w:r>
        <w:rPr>
          <w:b/>
        </w:rPr>
        <w:lastRenderedPageBreak/>
        <w:t>Fig. 2-27</w:t>
      </w:r>
      <w:r w:rsidR="00742B95">
        <w:rPr>
          <w:b/>
          <w:noProof/>
        </w:rPr>
        <w:drawing>
          <wp:inline distT="0" distB="0" distL="0" distR="0" wp14:anchorId="3DB2A7D3" wp14:editId="5ACD1E86">
            <wp:extent cx="5943600" cy="7686675"/>
            <wp:effectExtent l="0" t="0" r="0" b="0"/>
            <wp:docPr id="24" name="Picture 24"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656E3F6E" w14:textId="1A60B5E6" w:rsidR="007B66E2" w:rsidRPr="007B66E2" w:rsidRDefault="00742B95" w:rsidP="007B66E2">
      <w:pPr>
        <w:rPr>
          <w:b/>
        </w:rPr>
      </w:pPr>
      <w:r>
        <w:rPr>
          <w:b/>
        </w:rPr>
        <w:lastRenderedPageBreak/>
        <w:t>Fig. 2-27 (cont’d)</w:t>
      </w:r>
      <w:r>
        <w:rPr>
          <w:b/>
          <w:noProof/>
        </w:rPr>
        <w:drawing>
          <wp:inline distT="0" distB="0" distL="0" distR="0" wp14:anchorId="31E97FC4" wp14:editId="50FB7C2B">
            <wp:extent cx="5943600" cy="7686675"/>
            <wp:effectExtent l="0" t="0" r="0" b="0"/>
            <wp:docPr id="25" name="Picture 25"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sectPr w:rsidR="007B66E2" w:rsidRPr="007B66E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A090C31" w14:textId="77777777" w:rsidR="00CB4978" w:rsidRDefault="00CB4978">
      <w:pPr>
        <w:spacing w:after="0"/>
      </w:pPr>
      <w:r>
        <w:separator/>
      </w:r>
    </w:p>
  </w:endnote>
  <w:endnote w:type="continuationSeparator" w:id="0">
    <w:p w14:paraId="6E9BB917" w14:textId="77777777" w:rsidR="00CB4978" w:rsidRDefault="00CB497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E634D" w14:textId="77777777" w:rsidR="00CB4978" w:rsidRDefault="00CB4978">
      <w:r>
        <w:separator/>
      </w:r>
    </w:p>
  </w:footnote>
  <w:footnote w:type="continuationSeparator" w:id="0">
    <w:p w14:paraId="62BF12B9" w14:textId="77777777" w:rsidR="00CB4978" w:rsidRDefault="00CB497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659D"/>
    <w:rsid w:val="00060C27"/>
    <w:rsid w:val="00076159"/>
    <w:rsid w:val="000944B3"/>
    <w:rsid w:val="000A3F5D"/>
    <w:rsid w:val="001529D3"/>
    <w:rsid w:val="001818AD"/>
    <w:rsid w:val="001E584A"/>
    <w:rsid w:val="001F400E"/>
    <w:rsid w:val="0027114A"/>
    <w:rsid w:val="00285A9D"/>
    <w:rsid w:val="002D149A"/>
    <w:rsid w:val="002E569D"/>
    <w:rsid w:val="002E5D7F"/>
    <w:rsid w:val="003009E5"/>
    <w:rsid w:val="003339D9"/>
    <w:rsid w:val="003420A4"/>
    <w:rsid w:val="00382CDF"/>
    <w:rsid w:val="003A3ABD"/>
    <w:rsid w:val="003A4782"/>
    <w:rsid w:val="004052D8"/>
    <w:rsid w:val="0048501F"/>
    <w:rsid w:val="004A256B"/>
    <w:rsid w:val="004A3B77"/>
    <w:rsid w:val="004B5921"/>
    <w:rsid w:val="004C59BC"/>
    <w:rsid w:val="004E29B3"/>
    <w:rsid w:val="004E7A0B"/>
    <w:rsid w:val="00510B86"/>
    <w:rsid w:val="005349C8"/>
    <w:rsid w:val="0055234E"/>
    <w:rsid w:val="00590D07"/>
    <w:rsid w:val="005D2428"/>
    <w:rsid w:val="005D5121"/>
    <w:rsid w:val="005E0AE7"/>
    <w:rsid w:val="006252D8"/>
    <w:rsid w:val="0063434F"/>
    <w:rsid w:val="00670551"/>
    <w:rsid w:val="006706FB"/>
    <w:rsid w:val="006B25C3"/>
    <w:rsid w:val="006B6CF2"/>
    <w:rsid w:val="006B77BB"/>
    <w:rsid w:val="00702B57"/>
    <w:rsid w:val="007173DF"/>
    <w:rsid w:val="00742B95"/>
    <w:rsid w:val="00750F08"/>
    <w:rsid w:val="00752183"/>
    <w:rsid w:val="007578C4"/>
    <w:rsid w:val="00784D58"/>
    <w:rsid w:val="00797813"/>
    <w:rsid w:val="007B66E2"/>
    <w:rsid w:val="007E47E4"/>
    <w:rsid w:val="0083254A"/>
    <w:rsid w:val="008357EC"/>
    <w:rsid w:val="008756D1"/>
    <w:rsid w:val="0087695F"/>
    <w:rsid w:val="008829C2"/>
    <w:rsid w:val="0089424C"/>
    <w:rsid w:val="008D3347"/>
    <w:rsid w:val="008D6863"/>
    <w:rsid w:val="008F3A42"/>
    <w:rsid w:val="0093029A"/>
    <w:rsid w:val="00944A5C"/>
    <w:rsid w:val="00946FAF"/>
    <w:rsid w:val="00947235"/>
    <w:rsid w:val="00963DBA"/>
    <w:rsid w:val="009B2AFA"/>
    <w:rsid w:val="009C3B78"/>
    <w:rsid w:val="009C709A"/>
    <w:rsid w:val="009D2758"/>
    <w:rsid w:val="00A16899"/>
    <w:rsid w:val="00A373F3"/>
    <w:rsid w:val="00A52843"/>
    <w:rsid w:val="00A730A7"/>
    <w:rsid w:val="00A740A3"/>
    <w:rsid w:val="00A760D3"/>
    <w:rsid w:val="00A936BE"/>
    <w:rsid w:val="00AC4E54"/>
    <w:rsid w:val="00AD06A1"/>
    <w:rsid w:val="00AF3EFF"/>
    <w:rsid w:val="00B134DE"/>
    <w:rsid w:val="00B34454"/>
    <w:rsid w:val="00B47BD7"/>
    <w:rsid w:val="00B52DEC"/>
    <w:rsid w:val="00B5324F"/>
    <w:rsid w:val="00B60A21"/>
    <w:rsid w:val="00B6419D"/>
    <w:rsid w:val="00B86B75"/>
    <w:rsid w:val="00B90E9D"/>
    <w:rsid w:val="00BA3CC7"/>
    <w:rsid w:val="00BA507F"/>
    <w:rsid w:val="00BC48D5"/>
    <w:rsid w:val="00BC5C1C"/>
    <w:rsid w:val="00BE5B43"/>
    <w:rsid w:val="00C0135E"/>
    <w:rsid w:val="00C12DBD"/>
    <w:rsid w:val="00C2273E"/>
    <w:rsid w:val="00C233C8"/>
    <w:rsid w:val="00C36279"/>
    <w:rsid w:val="00C4631D"/>
    <w:rsid w:val="00C560A8"/>
    <w:rsid w:val="00C612CF"/>
    <w:rsid w:val="00C94186"/>
    <w:rsid w:val="00CB4978"/>
    <w:rsid w:val="00CC3264"/>
    <w:rsid w:val="00CE649F"/>
    <w:rsid w:val="00CF32D0"/>
    <w:rsid w:val="00CF41CF"/>
    <w:rsid w:val="00CF485E"/>
    <w:rsid w:val="00D35FD4"/>
    <w:rsid w:val="00D41F99"/>
    <w:rsid w:val="00D466B1"/>
    <w:rsid w:val="00D47ADD"/>
    <w:rsid w:val="00D61929"/>
    <w:rsid w:val="00DA2691"/>
    <w:rsid w:val="00DB1950"/>
    <w:rsid w:val="00DE3BBE"/>
    <w:rsid w:val="00DE3FE3"/>
    <w:rsid w:val="00DF18D9"/>
    <w:rsid w:val="00DF789B"/>
    <w:rsid w:val="00E22145"/>
    <w:rsid w:val="00E315A3"/>
    <w:rsid w:val="00E54A2F"/>
    <w:rsid w:val="00EB49CE"/>
    <w:rsid w:val="00ED1AF8"/>
    <w:rsid w:val="00F10D2C"/>
    <w:rsid w:val="00F27AAC"/>
    <w:rsid w:val="00F30AC0"/>
    <w:rsid w:val="00F37023"/>
    <w:rsid w:val="00F416D5"/>
    <w:rsid w:val="00F45B95"/>
    <w:rsid w:val="00F46472"/>
    <w:rsid w:val="00F70D46"/>
    <w:rsid w:val="00F844F4"/>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fontTable" Target="fontTable.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264</TotalTime>
  <Pages>56</Pages>
  <Words>3076</Words>
  <Characters>17536</Characters>
  <Application>Microsoft Macintosh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20571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83</cp:revision>
  <dcterms:created xsi:type="dcterms:W3CDTF">2015-08-21T22:25:00Z</dcterms:created>
  <dcterms:modified xsi:type="dcterms:W3CDTF">2015-11-16T02:31:00Z</dcterms:modified>
</cp:coreProperties>
</file>